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8110"/>
        <w:gridCol w:w="567"/>
      </w:tblGrid>
      <w:tr w:rsidR="00D67FC3" w14:paraId="16AB538A" w14:textId="77777777" w:rsidTr="00F32FB2">
        <w:tc>
          <w:tcPr>
            <w:tcW w:w="537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6F920F99" w14:textId="77777777" w:rsidR="00D67FC3" w:rsidRDefault="00D67FC3" w:rsidP="001C02B4">
            <w:pPr>
              <w:spacing w:line="276" w:lineRule="auto"/>
              <w:jc w:val="both"/>
              <w:rPr>
                <w:rFonts w:ascii="Aptos Display" w:hAnsi="Aptos Display"/>
              </w:rPr>
            </w:pPr>
          </w:p>
        </w:tc>
        <w:tc>
          <w:tcPr>
            <w:tcW w:w="8110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516D571E" w14:textId="77777777" w:rsidR="00D67FC3" w:rsidRPr="00FE0E39" w:rsidRDefault="00D67FC3" w:rsidP="001C02B4">
            <w:pPr>
              <w:spacing w:line="276" w:lineRule="auto"/>
              <w:jc w:val="both"/>
              <w:rPr>
                <w:rFonts w:ascii="Aptos Display" w:hAnsi="Aptos Display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567" w:type="dxa"/>
            <w:tcBorders>
              <w:bottom w:val="single" w:sz="8" w:space="0" w:color="0094C0"/>
            </w:tcBorders>
          </w:tcPr>
          <w:p w14:paraId="6AB40186" w14:textId="77777777" w:rsidR="00D67FC3" w:rsidRDefault="00D67FC3" w:rsidP="001C02B4">
            <w:pPr>
              <w:spacing w:after="120" w:line="276" w:lineRule="auto"/>
              <w:jc w:val="both"/>
              <w:rPr>
                <w:rFonts w:ascii="Aptos Display" w:hAnsi="Aptos Display"/>
              </w:rPr>
            </w:pPr>
          </w:p>
        </w:tc>
      </w:tr>
      <w:tr w:rsidR="00D67FC3" w14:paraId="7DE97DC2" w14:textId="77777777" w:rsidTr="00F32FB2">
        <w:tc>
          <w:tcPr>
            <w:tcW w:w="537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45B09126" w14:textId="77777777" w:rsidR="00D67FC3" w:rsidRDefault="00D67FC3" w:rsidP="001C02B4">
            <w:pPr>
              <w:spacing w:line="276" w:lineRule="auto"/>
              <w:jc w:val="both"/>
              <w:rPr>
                <w:rFonts w:ascii="Aptos Display" w:hAnsi="Aptos Display"/>
              </w:rPr>
            </w:pPr>
          </w:p>
        </w:tc>
        <w:tc>
          <w:tcPr>
            <w:tcW w:w="8110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21BD4B9A" w14:textId="371E52DD" w:rsidR="00D67FC3" w:rsidRPr="00FE0E39" w:rsidRDefault="00D67FC3" w:rsidP="001C02B4">
            <w:pPr>
              <w:spacing w:line="276" w:lineRule="auto"/>
              <w:jc w:val="both"/>
              <w:rPr>
                <w:rFonts w:ascii="Aptos Display" w:hAnsi="Aptos Display"/>
                <w:b/>
                <w:bCs/>
                <w:sz w:val="28"/>
                <w:szCs w:val="28"/>
              </w:rPr>
            </w:pPr>
            <w:r w:rsidRPr="00FE0E39">
              <w:rPr>
                <w:rFonts w:ascii="Aptos Display" w:hAnsi="Aptos Display"/>
                <w:b/>
                <w:bCs/>
                <w:color w:val="0094C0"/>
                <w:sz w:val="28"/>
                <w:szCs w:val="28"/>
              </w:rPr>
              <w:t>Po</w:t>
            </w:r>
            <w:r>
              <w:rPr>
                <w:rFonts w:ascii="Aptos Display" w:hAnsi="Aptos Display"/>
                <w:b/>
                <w:bCs/>
                <w:color w:val="0094C0"/>
                <w:sz w:val="28"/>
                <w:szCs w:val="28"/>
              </w:rPr>
              <w:t>žadavky</w:t>
            </w:r>
            <w:r w:rsidRPr="00FE0E39">
              <w:rPr>
                <w:rFonts w:ascii="Aptos Display" w:hAnsi="Aptos Display"/>
                <w:b/>
                <w:bCs/>
                <w:color w:val="0094C0"/>
                <w:sz w:val="28"/>
                <w:szCs w:val="28"/>
              </w:rPr>
              <w:t xml:space="preserve"> objednatele</w:t>
            </w:r>
            <w:r w:rsidRPr="00FE0E39">
              <w:rPr>
                <w:rFonts w:ascii="Aptos Display" w:hAnsi="Aptos Display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760A22E4" w14:textId="00295AEC" w:rsidR="00D67FC3" w:rsidRDefault="00D67FC3" w:rsidP="001C02B4">
            <w:pPr>
              <w:spacing w:line="276" w:lineRule="auto"/>
              <w:jc w:val="right"/>
              <w:rPr>
                <w:rFonts w:ascii="Aptos Display" w:hAnsi="Aptos Display"/>
              </w:rPr>
            </w:pPr>
          </w:p>
        </w:tc>
      </w:tr>
      <w:tr w:rsidR="00D67FC3" w14:paraId="376D9D33" w14:textId="77777777" w:rsidTr="00F32FB2">
        <w:tc>
          <w:tcPr>
            <w:tcW w:w="537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018A8247" w14:textId="77777777" w:rsidR="00D67FC3" w:rsidRPr="00D130BC" w:rsidRDefault="00D67FC3" w:rsidP="001C02B4">
            <w:pPr>
              <w:spacing w:line="276" w:lineRule="auto"/>
              <w:jc w:val="both"/>
              <w:rPr>
                <w:rFonts w:ascii="Aptos Display" w:hAnsi="Aptos Display"/>
              </w:rPr>
            </w:pPr>
          </w:p>
        </w:tc>
        <w:tc>
          <w:tcPr>
            <w:tcW w:w="8110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39B48894" w14:textId="59761BD2" w:rsidR="00D67FC3" w:rsidRPr="00FE0E39" w:rsidRDefault="00D67FC3" w:rsidP="001C02B4">
            <w:pPr>
              <w:spacing w:line="276" w:lineRule="auto"/>
              <w:jc w:val="both"/>
              <w:rPr>
                <w:rFonts w:ascii="Aptos Display" w:hAnsi="Aptos Display"/>
              </w:rPr>
            </w:pPr>
          </w:p>
        </w:tc>
        <w:tc>
          <w:tcPr>
            <w:tcW w:w="567" w:type="dxa"/>
            <w:tcBorders>
              <w:top w:val="single" w:sz="8" w:space="0" w:color="0094C0"/>
            </w:tcBorders>
            <w:vAlign w:val="center"/>
          </w:tcPr>
          <w:p w14:paraId="5DE864BD" w14:textId="4D91C289" w:rsidR="00D67FC3" w:rsidRDefault="00D67FC3" w:rsidP="001C02B4">
            <w:pPr>
              <w:spacing w:line="276" w:lineRule="auto"/>
              <w:jc w:val="right"/>
              <w:rPr>
                <w:rFonts w:ascii="Aptos Display" w:hAnsi="Aptos Display"/>
              </w:rPr>
            </w:pPr>
          </w:p>
        </w:tc>
      </w:tr>
    </w:tbl>
    <w:p w14:paraId="5D4B45C6" w14:textId="77777777" w:rsidR="00D67FC3" w:rsidRPr="00A82AA6" w:rsidRDefault="00D67FC3">
      <w:pPr>
        <w:rPr>
          <w:rFonts w:ascii="Aptos Display" w:hAnsi="Aptos Display"/>
          <w:b/>
          <w:bCs/>
        </w:rPr>
      </w:pPr>
    </w:p>
    <w:p w14:paraId="1167EE38" w14:textId="54A63C25" w:rsidR="00525A23" w:rsidRDefault="00B64A19" w:rsidP="00B64A19">
      <w:pPr>
        <w:jc w:val="both"/>
      </w:pPr>
      <w:r>
        <w:t xml:space="preserve">Z důvodu uplatnění odbornosti a </w:t>
      </w:r>
      <w:r w:rsidRPr="00101F2C">
        <w:t>zkušeností</w:t>
      </w:r>
      <w:r>
        <w:t xml:space="preserve"> zhotovitele</w:t>
      </w:r>
      <w:r w:rsidR="00525A23" w:rsidRPr="00101F2C">
        <w:t>, a inovativních řešen</w:t>
      </w:r>
      <w:r w:rsidR="00772BE8">
        <w:t>í</w:t>
      </w:r>
      <w:r>
        <w:t xml:space="preserve"> bude realizace díla </w:t>
      </w:r>
      <w:r w:rsidR="00525A23" w:rsidRPr="00101F2C">
        <w:t>probíhat metodou dodávky Design-Build, kdy je zhotovitel stavby zároveň odpovědný též za kompletní přípravu projektové dokumentace</w:t>
      </w:r>
      <w:r>
        <w:t>.</w:t>
      </w:r>
    </w:p>
    <w:p w14:paraId="70E1B6FA" w14:textId="5FE7A4B2" w:rsidR="003E7CE3" w:rsidRPr="003E7CE3" w:rsidRDefault="00B64A19" w:rsidP="003E7CE3">
      <w:pPr>
        <w:tabs>
          <w:tab w:val="num" w:pos="720"/>
        </w:tabs>
        <w:jc w:val="both"/>
      </w:pPr>
      <w:r>
        <w:t xml:space="preserve">Nedílnou součástí zadávací dokumentace veřejné zakázky pro výběr dodavatele díla jsou Požadavky objednatele. Požadavky objednatele spolu se smlouvou o dílo </w:t>
      </w:r>
      <w:r w:rsidR="00525A23" w:rsidRPr="003E7CE3">
        <w:t xml:space="preserve">vymezení účel </w:t>
      </w:r>
      <w:r w:rsidRPr="003E7CE3">
        <w:t>díla, s</w:t>
      </w:r>
      <w:r w:rsidR="00525A23" w:rsidRPr="003E7CE3">
        <w:t>pecifik</w:t>
      </w:r>
      <w:r w:rsidRPr="003E7CE3">
        <w:t>ují</w:t>
      </w:r>
      <w:r w:rsidR="00525A23" w:rsidRPr="003E7CE3">
        <w:t xml:space="preserve"> výkonov</w:t>
      </w:r>
      <w:r w:rsidRPr="003E7CE3">
        <w:t xml:space="preserve">é </w:t>
      </w:r>
      <w:r w:rsidR="00525A23" w:rsidRPr="003E7CE3">
        <w:t>a funkční požadavk</w:t>
      </w:r>
      <w:r w:rsidRPr="003E7CE3">
        <w:t>y, definují s</w:t>
      </w:r>
      <w:r w:rsidR="00525A23" w:rsidRPr="003E7CE3">
        <w:t>tandardy a technické parametry</w:t>
      </w:r>
      <w:r w:rsidR="003E7CE3" w:rsidRPr="003E7CE3">
        <w:t>,</w:t>
      </w:r>
      <w:r w:rsidRPr="003E7CE3">
        <w:t xml:space="preserve"> </w:t>
      </w:r>
      <w:r w:rsidR="003E7CE3" w:rsidRPr="003E7CE3">
        <w:t xml:space="preserve">realizační termíny a </w:t>
      </w:r>
      <w:r w:rsidR="00525A23" w:rsidRPr="00525A23">
        <w:t>milníky</w:t>
      </w:r>
      <w:r w:rsidR="003E7CE3" w:rsidRPr="003E7CE3">
        <w:t>.</w:t>
      </w:r>
    </w:p>
    <w:p w14:paraId="4D3BC3EF" w14:textId="1E35946D" w:rsidR="00FC7A50" w:rsidRPr="003E7CE3" w:rsidRDefault="00B64A19">
      <w:pPr>
        <w:rPr>
          <w:rFonts w:ascii="Aptos Display" w:hAnsi="Aptos Display" w:cs="Arial"/>
          <w:color w:val="000000" w:themeColor="text1"/>
        </w:rPr>
      </w:pPr>
      <w:r w:rsidRPr="003E7CE3">
        <w:rPr>
          <w:rFonts w:ascii="Aptos Display" w:hAnsi="Aptos Display"/>
          <w:color w:val="000000" w:themeColor="text1"/>
        </w:rPr>
        <w:t>Požadavky objednatele tvoři:</w:t>
      </w:r>
    </w:p>
    <w:p w14:paraId="787F7F8F" w14:textId="7D0B3B13" w:rsidR="00FC7A50" w:rsidRPr="003E7CE3" w:rsidRDefault="00FC7A50">
      <w:pPr>
        <w:rPr>
          <w:rFonts w:ascii="Aptos Display" w:hAnsi="Aptos Display" w:cs="Arial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</w:rPr>
        <w:t>Příloha č. 1 Popis stávajícího stavu</w:t>
      </w:r>
    </w:p>
    <w:p w14:paraId="5D17CFE5" w14:textId="08D89958" w:rsidR="00FC7A50" w:rsidRPr="003E7CE3" w:rsidRDefault="00FC7A50">
      <w:pPr>
        <w:rPr>
          <w:rFonts w:ascii="Aptos Display" w:hAnsi="Aptos Display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</w:rPr>
        <w:t>Příloha č. 2 Termíny, Milníky a Harmonogram</w:t>
      </w:r>
    </w:p>
    <w:p w14:paraId="0BF9D465" w14:textId="0A55E170" w:rsidR="00FC7A50" w:rsidRPr="003E7CE3" w:rsidRDefault="00FC7A50">
      <w:pPr>
        <w:rPr>
          <w:rFonts w:ascii="Aptos Display" w:hAnsi="Aptos Display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  <w:lang w:eastAsia="cs-CZ"/>
        </w:rPr>
        <w:t xml:space="preserve">Příloha </w:t>
      </w:r>
      <w:r w:rsidRPr="003E7CE3">
        <w:rPr>
          <w:rFonts w:ascii="Aptos Display" w:hAnsi="Aptos Display" w:cs="Arial"/>
          <w:color w:val="000000" w:themeColor="text1"/>
        </w:rPr>
        <w:t>č. 3 Vzorky, Kontrola, Zkoušení a Zkušební provoz</w:t>
      </w:r>
    </w:p>
    <w:p w14:paraId="1AF149BB" w14:textId="359C12ED" w:rsidR="00FC7A50" w:rsidRPr="003E7CE3" w:rsidRDefault="00FC7A50">
      <w:pPr>
        <w:rPr>
          <w:rFonts w:ascii="Aptos Display" w:hAnsi="Aptos Display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</w:rPr>
        <w:t>Příloha č. 4 Požadavky na zpracování realizační dokumentace</w:t>
      </w:r>
    </w:p>
    <w:p w14:paraId="2855063A" w14:textId="2D4A4A6E" w:rsidR="005C3B6C" w:rsidRDefault="005C3B6C">
      <w:pPr>
        <w:rPr>
          <w:rFonts w:ascii="Aptos Display" w:hAnsi="Aptos Display" w:cs="Arial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</w:rPr>
        <w:t xml:space="preserve">Příloha č. </w:t>
      </w:r>
      <w:r>
        <w:rPr>
          <w:rFonts w:ascii="Aptos Display" w:hAnsi="Aptos Display" w:cs="Arial"/>
          <w:color w:val="000000" w:themeColor="text1"/>
        </w:rPr>
        <w:t>5</w:t>
      </w:r>
      <w:r w:rsidR="00993797">
        <w:rPr>
          <w:rFonts w:ascii="Aptos Display" w:hAnsi="Aptos Display" w:cs="Arial"/>
          <w:color w:val="000000" w:themeColor="text1"/>
        </w:rPr>
        <w:t xml:space="preserve"> </w:t>
      </w:r>
      <w:r w:rsidR="00FF6640" w:rsidRPr="00FF6640">
        <w:rPr>
          <w:rFonts w:ascii="Aptos Display" w:hAnsi="Aptos Display" w:cs="Arial"/>
          <w:color w:val="000000" w:themeColor="text1"/>
        </w:rPr>
        <w:t>Podmínky DNSH</w:t>
      </w:r>
      <w:r w:rsidR="00FF6640" w:rsidRPr="00FF6640">
        <w:rPr>
          <w:rFonts w:ascii="Aptos Display" w:hAnsi="Aptos Display" w:cs="Arial"/>
          <w:b/>
          <w:bCs/>
          <w:color w:val="000000" w:themeColor="text1"/>
        </w:rPr>
        <w:t xml:space="preserve"> </w:t>
      </w:r>
    </w:p>
    <w:p w14:paraId="7CA8392E" w14:textId="4E42D330" w:rsidR="005C3B6C" w:rsidRDefault="005C3B6C">
      <w:pPr>
        <w:rPr>
          <w:rFonts w:ascii="Aptos Display" w:hAnsi="Aptos Display"/>
          <w:color w:val="000000" w:themeColor="text1"/>
        </w:rPr>
      </w:pPr>
      <w:r w:rsidRPr="003E7CE3">
        <w:rPr>
          <w:rFonts w:ascii="Aptos Display" w:hAnsi="Aptos Display" w:cs="Arial"/>
          <w:color w:val="000000" w:themeColor="text1"/>
        </w:rPr>
        <w:t xml:space="preserve">Příloha č. </w:t>
      </w:r>
      <w:r>
        <w:rPr>
          <w:rFonts w:ascii="Aptos Display" w:hAnsi="Aptos Display" w:cs="Arial"/>
          <w:color w:val="000000" w:themeColor="text1"/>
        </w:rPr>
        <w:t>6</w:t>
      </w:r>
      <w:r w:rsidR="00FF6640">
        <w:rPr>
          <w:rFonts w:ascii="Aptos Display" w:hAnsi="Aptos Display" w:cs="Arial"/>
          <w:color w:val="000000" w:themeColor="text1"/>
        </w:rPr>
        <w:t xml:space="preserve"> Požadavky na provádění díla</w:t>
      </w:r>
    </w:p>
    <w:p w14:paraId="49BFE542" w14:textId="128429ED" w:rsidR="00FC7A50" w:rsidRPr="003E7CE3" w:rsidRDefault="005C3B6C">
      <w:pPr>
        <w:rPr>
          <w:rFonts w:ascii="Aptos Display" w:hAnsi="Aptos Display"/>
          <w:color w:val="000000" w:themeColor="text1"/>
        </w:rPr>
      </w:pPr>
      <w:r>
        <w:rPr>
          <w:rFonts w:ascii="Aptos Display" w:hAnsi="Aptos Display"/>
          <w:color w:val="000000" w:themeColor="text1"/>
        </w:rPr>
        <w:t>Příloha č. 7 R</w:t>
      </w:r>
      <w:r w:rsidR="00FC7A50" w:rsidRPr="003E7CE3">
        <w:rPr>
          <w:rFonts w:ascii="Aptos Display" w:hAnsi="Aptos Display"/>
          <w:color w:val="000000" w:themeColor="text1"/>
        </w:rPr>
        <w:t>ozpis paušálního obnosu přijaté smluvní částky</w:t>
      </w:r>
    </w:p>
    <w:p w14:paraId="6E80A42E" w14:textId="77777777" w:rsidR="00B64A19" w:rsidRDefault="00B64A19">
      <w:pPr>
        <w:rPr>
          <w:rFonts w:ascii="Aptos Display" w:hAnsi="Aptos Display"/>
        </w:rPr>
      </w:pPr>
    </w:p>
    <w:p w14:paraId="7B0095A7" w14:textId="77777777" w:rsidR="00B64A19" w:rsidRDefault="00B64A19">
      <w:pPr>
        <w:rPr>
          <w:rFonts w:ascii="Aptos Display" w:hAnsi="Aptos Display"/>
        </w:rPr>
      </w:pPr>
    </w:p>
    <w:sectPr w:rsidR="00B64A19" w:rsidSect="00CE4926">
      <w:footerReference w:type="default" r:id="rId10"/>
      <w:pgSz w:w="11906" w:h="16838"/>
      <w:pgMar w:top="1417" w:right="1417" w:bottom="1417" w:left="1417" w:header="708" w:footer="29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DDC87" w14:textId="77777777" w:rsidR="006F3597" w:rsidRDefault="006F3597" w:rsidP="00CE4926">
      <w:pPr>
        <w:spacing w:after="0" w:line="240" w:lineRule="auto"/>
      </w:pPr>
      <w:r>
        <w:separator/>
      </w:r>
    </w:p>
  </w:endnote>
  <w:endnote w:type="continuationSeparator" w:id="0">
    <w:p w14:paraId="06BF87A2" w14:textId="77777777" w:rsidR="006F3597" w:rsidRDefault="006F3597" w:rsidP="00CE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6"/>
      <w:gridCol w:w="5807"/>
      <w:gridCol w:w="1121"/>
    </w:tblGrid>
    <w:tr w:rsidR="00CE4926" w:rsidRPr="00B64A19" w14:paraId="1F00D792" w14:textId="77777777" w:rsidTr="001C02B4">
      <w:tc>
        <w:tcPr>
          <w:tcW w:w="2268" w:type="dxa"/>
          <w:tcBorders>
            <w:bottom w:val="single" w:sz="8" w:space="0" w:color="0094C0"/>
            <w:right w:val="single" w:sz="8" w:space="0" w:color="0094C0"/>
          </w:tcBorders>
          <w:vAlign w:val="center"/>
        </w:tcPr>
        <w:p w14:paraId="541FA3EA" w14:textId="77777777" w:rsidR="00CE4926" w:rsidRPr="00B64A19" w:rsidRDefault="00CE4926" w:rsidP="00CE4926">
          <w:pPr>
            <w:spacing w:line="276" w:lineRule="auto"/>
            <w:jc w:val="both"/>
            <w:rPr>
              <w:rFonts w:ascii="Aptos Display" w:hAnsi="Aptos Display"/>
            </w:rPr>
          </w:pPr>
          <w:r>
            <w:rPr>
              <w:noProof/>
            </w:rPr>
            <w:drawing>
              <wp:inline distT="0" distB="0" distL="0" distR="0" wp14:anchorId="19EA342B" wp14:editId="48E00354">
                <wp:extent cx="1314529" cy="323850"/>
                <wp:effectExtent l="0" t="0" r="0" b="0"/>
                <wp:docPr id="299896443" name="Obrázek 3" descr="Není k dispozici žádný popis fotky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Není k dispozici žádný popis fotky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8304" b="369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5248" cy="331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3" w:type="dxa"/>
          <w:tcBorders>
            <w:left w:val="single" w:sz="8" w:space="0" w:color="0094C0"/>
            <w:bottom w:val="single" w:sz="8" w:space="0" w:color="0094C0"/>
          </w:tcBorders>
          <w:vAlign w:val="center"/>
        </w:tcPr>
        <w:p w14:paraId="5CE025BE" w14:textId="77777777" w:rsidR="00CE4926" w:rsidRPr="00B64A19" w:rsidRDefault="00CE4926" w:rsidP="00CE4926">
          <w:pPr>
            <w:spacing w:line="276" w:lineRule="auto"/>
            <w:jc w:val="both"/>
            <w:rPr>
              <w:rFonts w:ascii="Aptos Display" w:hAnsi="Aptos Display"/>
              <w:color w:val="0094C0"/>
            </w:rPr>
          </w:pPr>
          <w:r>
            <w:rPr>
              <w:rFonts w:ascii="Aptos Display" w:hAnsi="Aptos Display"/>
              <w:b/>
              <w:bCs/>
              <w:color w:val="0094C0"/>
              <w:sz w:val="28"/>
              <w:szCs w:val="28"/>
            </w:rPr>
            <w:t>Vodohospodářský rozvoj a výstavba a.s.</w:t>
          </w:r>
        </w:p>
      </w:tc>
      <w:tc>
        <w:tcPr>
          <w:tcW w:w="1123" w:type="dxa"/>
          <w:tcBorders>
            <w:bottom w:val="single" w:sz="8" w:space="0" w:color="0094C0"/>
          </w:tcBorders>
        </w:tcPr>
        <w:p w14:paraId="1E14CCC8" w14:textId="77777777" w:rsidR="00CE4926" w:rsidRPr="00B64A19" w:rsidRDefault="00CE4926" w:rsidP="00CE4926">
          <w:pPr>
            <w:spacing w:after="120" w:line="276" w:lineRule="auto"/>
            <w:jc w:val="both"/>
            <w:rPr>
              <w:rFonts w:ascii="Aptos Display" w:hAnsi="Aptos Display"/>
            </w:rPr>
          </w:pPr>
        </w:p>
      </w:tc>
    </w:tr>
    <w:tr w:rsidR="00CE4926" w:rsidRPr="0000457E" w14:paraId="5B2D8E6A" w14:textId="77777777" w:rsidTr="001C02B4">
      <w:tc>
        <w:tcPr>
          <w:tcW w:w="2268" w:type="dxa"/>
          <w:tcBorders>
            <w:top w:val="single" w:sz="8" w:space="0" w:color="0094C0"/>
            <w:bottom w:val="single" w:sz="8" w:space="0" w:color="0094C0"/>
            <w:right w:val="single" w:sz="8" w:space="0" w:color="0094C0"/>
          </w:tcBorders>
          <w:vAlign w:val="center"/>
        </w:tcPr>
        <w:p w14:paraId="7E5AB761" w14:textId="77777777" w:rsidR="00CE4926" w:rsidRPr="0000457E" w:rsidRDefault="00CE4926" w:rsidP="00CE4926">
          <w:pPr>
            <w:spacing w:line="276" w:lineRule="auto"/>
            <w:rPr>
              <w:rFonts w:ascii="Aptos Display" w:hAnsi="Aptos Display"/>
              <w:color w:val="0094C0"/>
            </w:rPr>
          </w:pPr>
          <w:r w:rsidRPr="0000457E">
            <w:rPr>
              <w:rFonts w:ascii="Aptos Display" w:hAnsi="Aptos Display"/>
              <w:color w:val="0094C0"/>
            </w:rPr>
            <w:t>IČ: 47116901</w:t>
          </w:r>
        </w:p>
      </w:tc>
      <w:tc>
        <w:tcPr>
          <w:tcW w:w="5823" w:type="dxa"/>
          <w:tcBorders>
            <w:top w:val="single" w:sz="8" w:space="0" w:color="0094C0"/>
            <w:left w:val="single" w:sz="8" w:space="0" w:color="0094C0"/>
            <w:bottom w:val="single" w:sz="8" w:space="0" w:color="0094C0"/>
          </w:tcBorders>
          <w:vAlign w:val="center"/>
        </w:tcPr>
        <w:p w14:paraId="7939FF0B" w14:textId="77777777" w:rsidR="00CE4926" w:rsidRPr="0000457E" w:rsidRDefault="00CE4926" w:rsidP="00CE4926">
          <w:pPr>
            <w:spacing w:line="276" w:lineRule="auto"/>
            <w:rPr>
              <w:rFonts w:ascii="Aptos Display" w:hAnsi="Aptos Display"/>
              <w:color w:val="0094C0"/>
            </w:rPr>
          </w:pPr>
          <w:r w:rsidRPr="0000457E">
            <w:rPr>
              <w:rFonts w:ascii="Aptos Display" w:hAnsi="Aptos Display"/>
              <w:color w:val="0094C0"/>
            </w:rPr>
            <w:t>Nábřežní 90/4, 150 00 Praha 5</w:t>
          </w:r>
        </w:p>
      </w:tc>
      <w:tc>
        <w:tcPr>
          <w:tcW w:w="1123" w:type="dxa"/>
          <w:tcBorders>
            <w:top w:val="single" w:sz="8" w:space="0" w:color="0094C0"/>
            <w:bottom w:val="single" w:sz="8" w:space="0" w:color="0094C0"/>
          </w:tcBorders>
          <w:vAlign w:val="center"/>
        </w:tcPr>
        <w:p w14:paraId="40FA3E1C" w14:textId="77777777" w:rsidR="00CE4926" w:rsidRPr="0000457E" w:rsidRDefault="00CE4926" w:rsidP="00CE4926">
          <w:pPr>
            <w:spacing w:line="276" w:lineRule="auto"/>
            <w:jc w:val="right"/>
            <w:rPr>
              <w:rFonts w:ascii="Aptos Display" w:hAnsi="Aptos Display"/>
            </w:rPr>
          </w:pPr>
          <w:r w:rsidRPr="0000457E">
            <w:rPr>
              <w:rFonts w:ascii="Aptos Display" w:hAnsi="Aptos Display"/>
              <w:color w:val="0094C0"/>
            </w:rPr>
            <w:t>V01</w:t>
          </w:r>
        </w:p>
      </w:tc>
    </w:tr>
    <w:tr w:rsidR="00CE4926" w:rsidRPr="0000457E" w14:paraId="3202364F" w14:textId="77777777" w:rsidTr="001C02B4">
      <w:tc>
        <w:tcPr>
          <w:tcW w:w="2268" w:type="dxa"/>
          <w:tcBorders>
            <w:top w:val="single" w:sz="8" w:space="0" w:color="0094C0"/>
            <w:right w:val="single" w:sz="8" w:space="0" w:color="0094C0"/>
          </w:tcBorders>
          <w:vAlign w:val="center"/>
        </w:tcPr>
        <w:p w14:paraId="7DBD54F7" w14:textId="77777777" w:rsidR="00CE4926" w:rsidRPr="0000457E" w:rsidRDefault="00CE4926" w:rsidP="00CE4926">
          <w:pPr>
            <w:spacing w:line="276" w:lineRule="auto"/>
            <w:rPr>
              <w:rFonts w:ascii="Aptos Display" w:hAnsi="Aptos Display"/>
              <w:color w:val="0094C0"/>
            </w:rPr>
          </w:pPr>
          <w:r w:rsidRPr="0000457E">
            <w:rPr>
              <w:rFonts w:ascii="Aptos Display" w:hAnsi="Aptos Display"/>
              <w:color w:val="0094C0"/>
            </w:rPr>
            <w:t>ID: 4qfgxx3</w:t>
          </w:r>
        </w:p>
      </w:tc>
      <w:tc>
        <w:tcPr>
          <w:tcW w:w="5823" w:type="dxa"/>
          <w:tcBorders>
            <w:top w:val="single" w:sz="8" w:space="0" w:color="0094C0"/>
            <w:left w:val="single" w:sz="8" w:space="0" w:color="0094C0"/>
          </w:tcBorders>
          <w:vAlign w:val="center"/>
        </w:tcPr>
        <w:p w14:paraId="63718D7A" w14:textId="77777777" w:rsidR="00CE4926" w:rsidRPr="0000457E" w:rsidRDefault="00CE4926" w:rsidP="00CE4926">
          <w:pPr>
            <w:spacing w:line="276" w:lineRule="auto"/>
            <w:rPr>
              <w:rFonts w:ascii="Aptos Display" w:hAnsi="Aptos Display"/>
              <w:color w:val="0094C0"/>
            </w:rPr>
          </w:pPr>
          <w:r>
            <w:rPr>
              <w:rFonts w:ascii="Aptos Display" w:hAnsi="Aptos Display"/>
              <w:color w:val="0094C0"/>
            </w:rPr>
            <w:t>Zpracovatel: Ing. Martin Dufek, +420 605264176, dufek@vrv.cz</w:t>
          </w:r>
        </w:p>
      </w:tc>
      <w:tc>
        <w:tcPr>
          <w:tcW w:w="1123" w:type="dxa"/>
          <w:tcBorders>
            <w:top w:val="single" w:sz="8" w:space="0" w:color="0094C0"/>
          </w:tcBorders>
          <w:vAlign w:val="center"/>
        </w:tcPr>
        <w:p w14:paraId="164D6401" w14:textId="77777777" w:rsidR="00CE4926" w:rsidRPr="0000457E" w:rsidRDefault="00CE4926" w:rsidP="00CE4926">
          <w:pPr>
            <w:spacing w:line="276" w:lineRule="auto"/>
            <w:jc w:val="right"/>
            <w:rPr>
              <w:rFonts w:ascii="Aptos Display" w:hAnsi="Aptos Display"/>
            </w:rPr>
          </w:pPr>
          <w:r w:rsidRPr="0000457E">
            <w:rPr>
              <w:rFonts w:ascii="Aptos Display" w:hAnsi="Aptos Display"/>
              <w:color w:val="0094C0"/>
            </w:rPr>
            <w:t>25-11-03</w:t>
          </w:r>
        </w:p>
      </w:tc>
    </w:tr>
  </w:tbl>
  <w:p w14:paraId="7DBD7D59" w14:textId="77777777" w:rsidR="00CE4926" w:rsidRDefault="00CE49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CC9CB" w14:textId="77777777" w:rsidR="006F3597" w:rsidRDefault="006F3597" w:rsidP="00CE4926">
      <w:pPr>
        <w:spacing w:after="0" w:line="240" w:lineRule="auto"/>
      </w:pPr>
      <w:r>
        <w:separator/>
      </w:r>
    </w:p>
  </w:footnote>
  <w:footnote w:type="continuationSeparator" w:id="0">
    <w:p w14:paraId="78CF43D5" w14:textId="77777777" w:rsidR="006F3597" w:rsidRDefault="006F3597" w:rsidP="00CE4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B04CB"/>
    <w:multiLevelType w:val="hybridMultilevel"/>
    <w:tmpl w:val="25AEDF24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1B6E0E88"/>
    <w:multiLevelType w:val="hybridMultilevel"/>
    <w:tmpl w:val="9F4255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693F"/>
    <w:multiLevelType w:val="multilevel"/>
    <w:tmpl w:val="CCC4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034170">
    <w:abstractNumId w:val="1"/>
  </w:num>
  <w:num w:numId="2" w16cid:durableId="1011952844">
    <w:abstractNumId w:val="0"/>
  </w:num>
  <w:num w:numId="3" w16cid:durableId="377898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8A"/>
    <w:rsid w:val="0000457E"/>
    <w:rsid w:val="000F01D5"/>
    <w:rsid w:val="00116E14"/>
    <w:rsid w:val="00173C76"/>
    <w:rsid w:val="00190D25"/>
    <w:rsid w:val="002E3151"/>
    <w:rsid w:val="0033050D"/>
    <w:rsid w:val="003E7CE3"/>
    <w:rsid w:val="00401F9F"/>
    <w:rsid w:val="004070F3"/>
    <w:rsid w:val="0043423C"/>
    <w:rsid w:val="004A21EE"/>
    <w:rsid w:val="005017BA"/>
    <w:rsid w:val="00525A23"/>
    <w:rsid w:val="00583591"/>
    <w:rsid w:val="005C3B6C"/>
    <w:rsid w:val="006535EB"/>
    <w:rsid w:val="00692C40"/>
    <w:rsid w:val="006F3597"/>
    <w:rsid w:val="00725DAB"/>
    <w:rsid w:val="00772BE8"/>
    <w:rsid w:val="0089531B"/>
    <w:rsid w:val="00951015"/>
    <w:rsid w:val="00970E8A"/>
    <w:rsid w:val="00993797"/>
    <w:rsid w:val="0099631D"/>
    <w:rsid w:val="00A0477F"/>
    <w:rsid w:val="00A82AA6"/>
    <w:rsid w:val="00A8667F"/>
    <w:rsid w:val="00AA5744"/>
    <w:rsid w:val="00AC51A1"/>
    <w:rsid w:val="00B12246"/>
    <w:rsid w:val="00B54B3E"/>
    <w:rsid w:val="00B64A19"/>
    <w:rsid w:val="00BA0125"/>
    <w:rsid w:val="00BD1555"/>
    <w:rsid w:val="00BD2C6E"/>
    <w:rsid w:val="00C4482F"/>
    <w:rsid w:val="00C45C6F"/>
    <w:rsid w:val="00CE4926"/>
    <w:rsid w:val="00CE6769"/>
    <w:rsid w:val="00D67FC3"/>
    <w:rsid w:val="00D93EEA"/>
    <w:rsid w:val="00D95583"/>
    <w:rsid w:val="00DD6051"/>
    <w:rsid w:val="00E075E1"/>
    <w:rsid w:val="00EE4B39"/>
    <w:rsid w:val="00F23E03"/>
    <w:rsid w:val="00F32FB2"/>
    <w:rsid w:val="00F37928"/>
    <w:rsid w:val="00F56AC4"/>
    <w:rsid w:val="00F57AD0"/>
    <w:rsid w:val="00FC7A50"/>
    <w:rsid w:val="00FF6640"/>
    <w:rsid w:val="7695B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59B85"/>
  <w15:chartTrackingRefBased/>
  <w15:docId w15:val="{95789A1E-B41F-466B-82D3-5152E29B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125"/>
    <w:rPr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101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5744"/>
    <w:pPr>
      <w:ind w:left="720"/>
      <w:contextualSpacing/>
    </w:pPr>
  </w:style>
  <w:style w:type="paragraph" w:styleId="Revize">
    <w:name w:val="Revision"/>
    <w:hidden/>
    <w:uiPriority w:val="99"/>
    <w:semiHidden/>
    <w:rsid w:val="00CE6769"/>
    <w:pPr>
      <w:spacing w:after="0" w:line="240" w:lineRule="auto"/>
    </w:pPr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E6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67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6769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7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769"/>
    <w:rPr>
      <w:b/>
      <w:bCs/>
      <w:kern w:val="0"/>
      <w:sz w:val="20"/>
      <w:szCs w:val="2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951015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table" w:styleId="Mkatabulky">
    <w:name w:val="Table Grid"/>
    <w:aliases w:val="Obrazek"/>
    <w:basedOn w:val="Normlntabulka"/>
    <w:rsid w:val="00D67FC3"/>
    <w:pPr>
      <w:spacing w:after="0" w:line="240" w:lineRule="auto"/>
    </w:pPr>
    <w:rPr>
      <w:rFonts w:ascii="Aptos" w:eastAsia="Arial" w:hAnsi="Aptos" w:cs="Arial"/>
      <w:kern w:val="0"/>
      <w:lang w:val="cs" w:eastAsia="ja-JP"/>
      <w14:ligatures w14:val="none"/>
    </w:rPr>
    <w:tblPr>
      <w:tblBorders>
        <w:top w:val="single" w:sz="4" w:space="0" w:color="D1D3D4"/>
        <w:left w:val="single" w:sz="4" w:space="0" w:color="D1D3D4"/>
        <w:bottom w:val="single" w:sz="4" w:space="0" w:color="D1D3D4"/>
        <w:right w:val="single" w:sz="4" w:space="0" w:color="D1D3D4"/>
        <w:insideH w:val="single" w:sz="4" w:space="0" w:color="D1D3D4"/>
        <w:insideV w:val="single" w:sz="4" w:space="0" w:color="D1D3D4"/>
      </w:tblBorders>
    </w:tblPr>
  </w:style>
  <w:style w:type="character" w:styleId="Hypertextovodkaz">
    <w:name w:val="Hyperlink"/>
    <w:basedOn w:val="Standardnpsmoodstavce"/>
    <w:uiPriority w:val="99"/>
    <w:unhideWhenUsed/>
    <w:rsid w:val="0000457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0457E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E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26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E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2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BEF0F-AFD3-45C8-9FB7-63E9B2B03E69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2.xml><?xml version="1.0" encoding="utf-8"?>
<ds:datastoreItem xmlns:ds="http://schemas.openxmlformats.org/officeDocument/2006/customXml" ds:itemID="{1819C27A-886D-4BCA-8E75-19E56A58C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53EFF-CCF0-48F4-AB4A-A34273DC8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Jozková Dita</dc:creator>
  <cp:keywords/>
  <dc:description/>
  <cp:lastModifiedBy>Dufek Martin</cp:lastModifiedBy>
  <cp:revision>49</cp:revision>
  <dcterms:created xsi:type="dcterms:W3CDTF">2024-01-03T13:40:00Z</dcterms:created>
  <dcterms:modified xsi:type="dcterms:W3CDTF">2025-11-11T13:30:00Z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2024-01-03T13:40:42Z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af1e4b90-a568-43cf-8072-70d93b623c5f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0x0101006E7F9CBD517D82478C04156C2128DDAB</vt:lpwstr>
  </property>
  <property fmtid="{D5CDD505-2E9C-101B-9397-08002B2CF9AE}" pid="10" name="MediaServiceImageTags">
    <vt:lpwstr/>
  </property>
</Properties>
</file>